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38" w:rsidRDefault="00D70C38" w:rsidP="00947E6A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4538">
        <w:rPr>
          <w:rFonts w:ascii="Times New Roman" w:hAnsi="Times New Roman"/>
          <w:b/>
          <w:sz w:val="24"/>
          <w:szCs w:val="24"/>
        </w:rPr>
        <w:t>Программа мониторинга социально-экономической и политической напряженности в регионах</w:t>
      </w:r>
    </w:p>
    <w:p w:rsidR="00A64538" w:rsidRPr="00A64538" w:rsidRDefault="00A64538" w:rsidP="00A64538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E5DF7" w:rsidRPr="00A64538" w:rsidRDefault="00D70C38" w:rsidP="00DE5DF7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4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</w:t>
      </w:r>
      <w:r w:rsidR="00DE5DF7" w:rsidRPr="00A64538">
        <w:rPr>
          <w:rFonts w:ascii="Times New Roman" w:hAnsi="Times New Roman"/>
          <w:b/>
          <w:sz w:val="24"/>
          <w:szCs w:val="24"/>
        </w:rPr>
        <w:t>СОЦИАЛЬНО-ЭКОНОМИЧЕСКОЕ БЛАГОПОЛУЧИЕ</w:t>
      </w:r>
    </w:p>
    <w:p w:rsidR="00DE5DF7" w:rsidRPr="00A64538" w:rsidRDefault="00DE5DF7" w:rsidP="00DE5DF7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E5DF7" w:rsidRPr="00A64538" w:rsidRDefault="00DE5DF7" w:rsidP="00DE5DF7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Экономические риски оценивались по трем группам показателей, отражающим три основных измерения хозяйственного развития: положение домохозяйств, положение публичного (бюджетного) сектора, производство и инвестиции.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5DF7" w:rsidRPr="00A64538" w:rsidTr="009229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Период / Уровень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Краткосрочный период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Среднесрочный период</w:t>
            </w:r>
          </w:p>
        </w:tc>
      </w:tr>
      <w:tr w:rsidR="00DE5DF7" w:rsidRPr="00A64538" w:rsidTr="009229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Домохозяйства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Реальные доходы населения</w:t>
            </w:r>
          </w:p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(% к предыдущему периоду)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(% к предыдущему периоду)</w:t>
            </w:r>
          </w:p>
        </w:tc>
      </w:tr>
      <w:tr w:rsidR="00DE5DF7" w:rsidRPr="00A64538" w:rsidTr="009229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Публичный сектор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(% к предыдущему периоду)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Задолженность региона и муниципалитетов</w:t>
            </w:r>
          </w:p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(% к консолидированному бюджету)</w:t>
            </w:r>
          </w:p>
        </w:tc>
      </w:tr>
      <w:tr w:rsidR="00DE5DF7" w:rsidRPr="00A64538" w:rsidTr="009229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Производство и инвестиции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>Промышленное производство (% к предыдущему периоду)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64538">
              <w:rPr>
                <w:rFonts w:ascii="Times New Roman" w:hAnsi="Times New Roman"/>
                <w:sz w:val="24"/>
                <w:szCs w:val="24"/>
              </w:rPr>
              <w:t xml:space="preserve">Инвестиции </w:t>
            </w:r>
          </w:p>
          <w:p w:rsidR="00DE5DF7" w:rsidRPr="00A64538" w:rsidRDefault="00DE5DF7" w:rsidP="003665E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64538">
              <w:rPr>
                <w:rFonts w:ascii="Times New Roman" w:hAnsi="Times New Roman"/>
                <w:sz w:val="24"/>
                <w:szCs w:val="24"/>
              </w:rPr>
              <w:t>(% к предыдущему периоду)</w:t>
            </w:r>
          </w:p>
        </w:tc>
      </w:tr>
    </w:tbl>
    <w:p w:rsidR="00DE5DF7" w:rsidRPr="00A64538" w:rsidRDefault="00DE5DF7" w:rsidP="00DE5DF7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DE5DF7" w:rsidRPr="00A64538" w:rsidRDefault="00DE5DF7" w:rsidP="00DE5DF7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 xml:space="preserve">Значения по каждому из показателей переводятся в пятибалльную шкалу от </w:t>
      </w:r>
      <w:r w:rsidRPr="00A64538">
        <w:rPr>
          <w:rFonts w:ascii="Times New Roman" w:hAnsi="Times New Roman"/>
          <w:sz w:val="24"/>
          <w:szCs w:val="24"/>
          <w:lang w:val="en-US"/>
        </w:rPr>
        <w:t>A</w:t>
      </w:r>
      <w:r w:rsidRPr="00A64538">
        <w:rPr>
          <w:rFonts w:ascii="Times New Roman" w:hAnsi="Times New Roman"/>
          <w:sz w:val="24"/>
          <w:szCs w:val="24"/>
        </w:rPr>
        <w:t xml:space="preserve"> (самые низкие риски) до </w:t>
      </w:r>
      <w:r w:rsidRPr="00A64538">
        <w:rPr>
          <w:rFonts w:ascii="Times New Roman" w:hAnsi="Times New Roman"/>
          <w:sz w:val="24"/>
          <w:szCs w:val="24"/>
          <w:lang w:val="en-US"/>
        </w:rPr>
        <w:t>E</w:t>
      </w:r>
      <w:r w:rsidRPr="00A64538">
        <w:rPr>
          <w:rFonts w:ascii="Times New Roman" w:hAnsi="Times New Roman"/>
          <w:sz w:val="24"/>
          <w:szCs w:val="24"/>
        </w:rPr>
        <w:t xml:space="preserve"> (самые высокие риски). Оценка по каждому направлению получается из усредненного значения балльных оценок по паре показателей, составляющих эту оценку. </w:t>
      </w:r>
    </w:p>
    <w:p w:rsidR="00DE5DF7" w:rsidRDefault="00DE5DF7" w:rsidP="00A64538">
      <w:pPr>
        <w:spacing w:after="0" w:line="288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C38" w:rsidRPr="00A64538" w:rsidRDefault="00DE5DF7" w:rsidP="00A64538">
      <w:pPr>
        <w:spacing w:after="0" w:line="288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538">
        <w:rPr>
          <w:rFonts w:ascii="Times New Roman" w:hAnsi="Times New Roman"/>
          <w:b/>
          <w:sz w:val="24"/>
          <w:szCs w:val="24"/>
        </w:rPr>
        <w:t xml:space="preserve">Б. </w:t>
      </w:r>
      <w:r w:rsidR="00D70C38" w:rsidRPr="00A6453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A64538">
        <w:rPr>
          <w:rFonts w:ascii="Times New Roman" w:eastAsia="Times New Roman" w:hAnsi="Times New Roman"/>
          <w:b/>
          <w:sz w:val="24"/>
          <w:szCs w:val="24"/>
          <w:lang w:eastAsia="ru-RU"/>
        </w:rPr>
        <w:t>НУТРИПОЛИТИЧЕСКАЯ СИТУАЦИЯ</w:t>
      </w: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В качестве основных составляющих для отслеживания политической ситуации в регионе и ее развития анализируются: 1) административная устойчивость; 2) неоднородность элиты и уровень конфликтности; 3) институциональный дизайн и адаптивность управления.</w:t>
      </w: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устойчивость 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устойчивость отражает стабильность политического управления и кадровой политики администрации, что связано с наличием дополнительных внутренних условий для публичного проявления недовольства.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Формализованная оценка исходит из двух основных показателей: </w:t>
      </w:r>
      <w:r w:rsidRPr="00A64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срока </w:t>
      </w:r>
      <w:proofErr w:type="gramStart"/>
      <w:r w:rsidRPr="00A64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нахождения</w:t>
      </w:r>
      <w:proofErr w:type="gramEnd"/>
      <w:r w:rsidRPr="00A64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 власти губернатора</w:t>
      </w: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начиная с 01.01.2005; и </w:t>
      </w:r>
      <w:r w:rsidRPr="00A64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кадровой устойчивости региональной и местной власти</w:t>
      </w: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установленный временной период (за год на момент подсчета – на 1 июля 2015 считается интервал с  1 июля 2014, на 1 января 2016 с 1 января 2015). Последняя определяется как отношение числа кадровых замен за установленный временной </w:t>
      </w:r>
      <w:proofErr w:type="gramStart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интервал</w:t>
      </w:r>
      <w:proofErr w:type="gramEnd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число установленных в данном регионе согласно данному перечню должностей на начало данного периода. </w:t>
      </w:r>
      <w:proofErr w:type="gramStart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Анализируются данные по кадровым </w:t>
      </w: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заменам на следующих позициях: (1) глава региона; (2) глава регионального правительства; (3) первый заместитель главы региона, первый заместитель  главы правительства; (4) спикер регионального парламента; (5) руководитель административного центра региона (для Московской и Ленинградской областей берутся 3 крупнейших по числу жителей города региона:</w:t>
      </w:r>
      <w:proofErr w:type="gramEnd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Балашиха, Химки, Подольск для МО, Гатчина, Выборг и Сосновый бор для ЛО; в случае наличия в муниципалитете раздельных должностей главы администрации и главы муниципального образования учитываются обе должности) </w:t>
      </w:r>
      <w:proofErr w:type="gramEnd"/>
    </w:p>
    <w:p w:rsidR="00D70C38" w:rsidRPr="00A64538" w:rsidRDefault="00D70C38" w:rsidP="00A64538">
      <w:pPr>
        <w:spacing w:after="0" w:line="288" w:lineRule="auto"/>
        <w:ind w:left="709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конфликтности и неоднородности элиты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Учитываются все выраженные конфликты - как перманентно присутствующие, к примеру, исторический конфликт между Ингушетией и Северной Осетией по поводу Пригородного района, или проблемы, периодически возникающие в регионах со сложным этническим составом, так и конфликты ситуативные – между ветвями и уровнями власти; между властью и </w:t>
      </w:r>
      <w:proofErr w:type="gramStart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бизнес-структурами</w:t>
      </w:r>
      <w:proofErr w:type="gramEnd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чисто политическое противостояние власть – региональная оппозиция (к примеру, КПРФ, «Справедливая Россия», различные группы «новой оппозиции» и т.д.). В ряде регионов имеются конфликты, связанные с особенностями взаимоотношений между органами власти и конкретными политиками, предпринимателями или общественными деятелями, к примеру, А. Быкова в Красноярском крае или недавно А. </w:t>
      </w:r>
      <w:proofErr w:type="spellStart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Фадзаева</w:t>
      </w:r>
      <w:proofErr w:type="spellEnd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Северной Осетии. Среди наиболее типичных конфликтов «губернатор – руководитель регионального центра» (два традиционных полюса формирования групп региональной элиты), «старая региональная элита – новая региональная администрация» (как правило, в регионах недавних замен губернаторов), «сторонники – противники объединения регионов» (в Адыгее, Республике Алтай, Ненецком АО, в последнее время в ЯНАО и ХМАО).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proofErr w:type="spellStart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экспертно</w:t>
      </w:r>
      <w:proofErr w:type="spellEnd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основное число центров политического влияния в регионе в настоящее время.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уровень конфликтности и неоднородности элиты отражает степень </w:t>
      </w:r>
      <w:proofErr w:type="spellStart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сегментизированности</w:t>
      </w:r>
      <w:proofErr w:type="spellEnd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элиты и отчасти уровень контроля администрации над происходящим в регионе, и свидетельствует о наличии в регионе дополнительных внутренних условий для публичного проявления недовольства (давние конфликты, </w:t>
      </w:r>
      <w:proofErr w:type="spellStart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накладываясь</w:t>
      </w:r>
      <w:proofErr w:type="spellEnd"/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ухудшение социально-экономической ситуации, могут обостриться и дать кумулятивный эффект).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64538">
        <w:rPr>
          <w:rFonts w:ascii="Times New Roman" w:eastAsia="MS Mincho" w:hAnsi="Times New Roman"/>
          <w:b/>
          <w:sz w:val="24"/>
          <w:szCs w:val="24"/>
          <w:lang w:eastAsia="ja-JP"/>
        </w:rPr>
        <w:t>Институциональный дизайн  и адаптивность управления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64538">
        <w:rPr>
          <w:rFonts w:ascii="Times New Roman" w:eastAsia="MS Mincho" w:hAnsi="Times New Roman"/>
          <w:sz w:val="24"/>
          <w:szCs w:val="24"/>
          <w:lang w:eastAsia="ja-JP"/>
        </w:rPr>
        <w:t>Оцениваются исключительно институциональные показатели:</w:t>
      </w:r>
    </w:p>
    <w:p w:rsidR="00D70C38" w:rsidRPr="00A64538" w:rsidRDefault="00D70C38" w:rsidP="00A64538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Уровень политической конкуренции</w:t>
      </w:r>
    </w:p>
    <w:p w:rsidR="00D70C38" w:rsidRPr="00A64538" w:rsidRDefault="00D70C38" w:rsidP="00A64538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системы местного самоуправления </w:t>
      </w:r>
    </w:p>
    <w:p w:rsidR="00D70C38" w:rsidRPr="00A64538" w:rsidRDefault="00D70C38" w:rsidP="00A64538">
      <w:pPr>
        <w:numPr>
          <w:ilvl w:val="0"/>
          <w:numId w:val="1"/>
        </w:numPr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Институциональная независимость депутатов регионального парламента</w:t>
      </w:r>
    </w:p>
    <w:p w:rsidR="00D70C38" w:rsidRPr="00A64538" w:rsidRDefault="00D70C38" w:rsidP="00A64538">
      <w:pPr>
        <w:numPr>
          <w:ilvl w:val="0"/>
          <w:numId w:val="1"/>
        </w:numPr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Защита парламентских прав оппозиции</w:t>
      </w:r>
      <w:r w:rsidRPr="00A64538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Уровень политической конкуренции:  </w:t>
      </w: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среднее число эффективных партий по  последним выборам в Госдуму РФ на территории региона по партспискам и по выборам в региональный парламент (число равно числу баллов; при полностью мажоритарной системе – среднее эффективное число кандидатов по округу).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Состояние системы местного самоуправления:</w:t>
      </w: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управления административного центра региона в зависимости от типа. Для Москвы и Санкт-Петербурга, где система МСУ во внутригородских районах во многом носит декоративный характер (нет даже сити-менеджеров, так как формальной органы исполнительной власти на территории района являются подразделениями администрации субъекта Федерации, органы МСУ избирают выполняющие церемониальные функции руководящие органы), устанавливается низший балл. Высший балл – прямые выборы главы административного центра, одновременно возглавляющего администрацию.</w:t>
      </w: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Институциональная независимость депутатов регионального парламента</w:t>
      </w: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: доля депутатов законодательного собрания, работающих на постоянной основе.</w:t>
      </w: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Защита парламентских прав оппозиции</w:t>
      </w: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>: число представителей политических партий, помимо «Единой России», на постах спикера, вице-спикеров и председателей комитетов региональных парламентов.</w:t>
      </w: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D70C38" w:rsidRPr="00A64538" w:rsidRDefault="00D70C38" w:rsidP="00A64538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4538">
        <w:rPr>
          <w:rFonts w:ascii="Times New Roman" w:hAnsi="Times New Roman"/>
          <w:b/>
          <w:sz w:val="24"/>
          <w:szCs w:val="24"/>
        </w:rPr>
        <w:t>В. ПРОТЕСТНАЯ АКТИВНОСТЬ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Основой для оценки протестной активности служат сообщения СМИ и информационных агентств о публичных акциях (митингах, шествиях, пикетах, сходах, забастовках, голодовках и др.). На стартовом этапе проекта база собирается самостоятельно с помощью поисковых устройств, баз публикаций, специализированных сайтов (Институт «Коллективное действие», Марш несогласных, «Сова» и др.). Данные проверяются и дополняются за счет обмена с другими центрами, собирающими данных о протестах: Центр социально-трудовых прав (информация о трудовых конфликтах), Центр сравнительных исторических и политических исследований.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Протестные акции группируются по темам протестных выступлений: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- социальные гарантии (пенсии, поддержка детей, инвалидов и других льготных категорий);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- трудовые права (заработная плата, занятость, режим труда);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- коррупция в органах власти, работа правоохранительных органов;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 xml:space="preserve">- права  предпринимателей, инвесторов (в том числе жилищных), вкладчиков; 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 xml:space="preserve">- жилье, местная среда (в том числе застройка, снос и др.), благоустройство; 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- межэтнические отношения, мигранты;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- партии, политики, кандидаты на выборах;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- внешняя политика (в том числе Украинский конфликт).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По каждой из категорий выставляется оценка: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1 – единичная акция;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lastRenderedPageBreak/>
        <w:t xml:space="preserve">2 – серия акций, массовая акция (более 1000 человек – для городов с населением 1 </w:t>
      </w:r>
      <w:proofErr w:type="gramStart"/>
      <w:r w:rsidRPr="00A64538">
        <w:rPr>
          <w:rFonts w:ascii="Times New Roman" w:hAnsi="Times New Roman"/>
          <w:sz w:val="24"/>
          <w:szCs w:val="24"/>
        </w:rPr>
        <w:t>млн</w:t>
      </w:r>
      <w:proofErr w:type="gramEnd"/>
      <w:r w:rsidRPr="00A64538">
        <w:rPr>
          <w:rFonts w:ascii="Times New Roman" w:hAnsi="Times New Roman"/>
          <w:sz w:val="24"/>
          <w:szCs w:val="24"/>
        </w:rPr>
        <w:t xml:space="preserve"> и больше; более 500 человек – для городов с населением в 5000 тыс. и региональных центров; более 100 человек – для остальных);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3 – массовые акции с перекрытием дорог, захватом зданий, коллективными голодовками и др.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4- протестная акция федерального значения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>Суммарная оценка по региону получается сложением оценок по каждой из категорий.</w:t>
      </w:r>
    </w:p>
    <w:p w:rsidR="00D70C38" w:rsidRPr="00A64538" w:rsidRDefault="00D70C38" w:rsidP="00A64538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538">
        <w:rPr>
          <w:rFonts w:ascii="Times New Roman" w:eastAsia="Times New Roman" w:hAnsi="Times New Roman"/>
          <w:b/>
          <w:sz w:val="24"/>
          <w:szCs w:val="24"/>
          <w:lang w:eastAsia="ru-RU"/>
        </w:rPr>
        <w:t>Г. У</w:t>
      </w:r>
      <w:r w:rsidR="00A64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ЧАСТИЕ </w:t>
      </w:r>
      <w:r w:rsidRPr="00A64538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A64538">
        <w:rPr>
          <w:rFonts w:ascii="Times New Roman" w:eastAsia="Times New Roman" w:hAnsi="Times New Roman"/>
          <w:b/>
          <w:sz w:val="24"/>
          <w:szCs w:val="24"/>
          <w:lang w:eastAsia="ru-RU"/>
        </w:rPr>
        <w:t>ЕНТРА В ЖИЗНИ РЕГИОНА</w:t>
      </w: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538">
        <w:rPr>
          <w:rFonts w:ascii="Times New Roman" w:hAnsi="Times New Roman"/>
          <w:sz w:val="24"/>
          <w:szCs w:val="24"/>
        </w:rPr>
        <w:t>Сводный индекс участия/вмешательства Центра в жизнь региона рассчитывается на основе: (1) собственной базы данных по назначениям ключевых федеральных чиновников в регионах (МВД, ФСБ, прокурор, СКР, ГФИ); (2) базы данных о визитах президента и премьера, о проведении федеральных совещаний, коллегий, советов (сайты президента и правительства); (3) встречах губернатора с В. Путиным – индивидуальных и в составе президиума Госсовета;</w:t>
      </w:r>
      <w:proofErr w:type="gramEnd"/>
      <w:r w:rsidRPr="00A64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4538">
        <w:rPr>
          <w:rFonts w:ascii="Times New Roman" w:hAnsi="Times New Roman"/>
          <w:sz w:val="24"/>
          <w:szCs w:val="24"/>
        </w:rPr>
        <w:t>(4) выражению недоверия губернатору или, наоборот, разрешению ему идти на досрочные выборы; (5) о возбуждении дел и уголовном преследовании в руководящем звене региональной элиты (губернатор, вице-губернаторы, члены правительства); (6) принятии правительственных решений, подготовке и проведении международных встреч высокого уровня, спортивных соревнований, праздновании юбилеев и пр.; (7) внеплановые замены губернаторов: переход губернатора и людей из его команды в федеральное пр-во.</w:t>
      </w:r>
      <w:proofErr w:type="gramEnd"/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 xml:space="preserve">По (1) собираются данные по стажу работы на анализируемых позициях и </w:t>
      </w:r>
      <w:proofErr w:type="spellStart"/>
      <w:r w:rsidRPr="00A64538">
        <w:rPr>
          <w:rFonts w:ascii="Times New Roman" w:hAnsi="Times New Roman"/>
          <w:sz w:val="24"/>
          <w:szCs w:val="24"/>
        </w:rPr>
        <w:t>укорененности</w:t>
      </w:r>
      <w:proofErr w:type="spellEnd"/>
      <w:r w:rsidRPr="00A64538">
        <w:rPr>
          <w:rFonts w:ascii="Times New Roman" w:hAnsi="Times New Roman"/>
          <w:sz w:val="24"/>
          <w:szCs w:val="24"/>
        </w:rPr>
        <w:t xml:space="preserve"> - принадлежности к корневой региональной элите. По (2) учитываются все назначения/замены губернаторов, особенно внеплановые с учетом стажа-</w:t>
      </w:r>
      <w:proofErr w:type="spellStart"/>
      <w:r w:rsidRPr="00A64538">
        <w:rPr>
          <w:rFonts w:ascii="Times New Roman" w:hAnsi="Times New Roman"/>
          <w:sz w:val="24"/>
          <w:szCs w:val="24"/>
        </w:rPr>
        <w:t>укорененности</w:t>
      </w:r>
      <w:proofErr w:type="spellEnd"/>
      <w:r w:rsidRPr="00A64538">
        <w:rPr>
          <w:rFonts w:ascii="Times New Roman" w:hAnsi="Times New Roman"/>
          <w:sz w:val="24"/>
          <w:szCs w:val="24"/>
        </w:rPr>
        <w:t>, а также случаи перехода губернатора и членов его команды в федеральное пр-во. По (3) оцениваются личные отношения г</w:t>
      </w:r>
      <w:r w:rsidRPr="00A64538">
        <w:rPr>
          <w:rFonts w:ascii="Times New Roman" w:eastAsia="Times New Roman" w:hAnsi="Times New Roman"/>
          <w:sz w:val="24"/>
          <w:szCs w:val="24"/>
          <w:lang w:eastAsia="ru-RU"/>
        </w:rPr>
        <w:t xml:space="preserve">убернатора с В. Путиным (индивидуальные встречи, участие в работе президиума  Госсовета, др. возглавляемых Путиным советах и комиссиях, в поездках В. Путина за рубеж). </w:t>
      </w:r>
    </w:p>
    <w:p w:rsidR="00D70C38" w:rsidRPr="00A64538" w:rsidRDefault="00D70C38" w:rsidP="00A64538">
      <w:pPr>
        <w:spacing w:after="0" w:line="288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D70C38" w:rsidRPr="00A64538" w:rsidRDefault="00A64538" w:rsidP="00A64538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РАСШИРЕННАЯ ПРОГРАММА ДЛЯ РЕГИОНОВ В ЗОНЕ РИСКА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t xml:space="preserve">Для регионов, попавших в группу повышенного риска, осуществляется сбор более детальной информации с привлечением экспертов из регионов. </w:t>
      </w:r>
      <w:proofErr w:type="gramStart"/>
      <w:r w:rsidRPr="00A64538">
        <w:rPr>
          <w:rFonts w:ascii="Times New Roman" w:hAnsi="Times New Roman"/>
          <w:sz w:val="24"/>
          <w:szCs w:val="24"/>
        </w:rPr>
        <w:t>Она включает, прежде всего,  оценивание перспектив социально-экономической и политической динамики с учетом информации, не вошедшей в стандартную информационную базу мониторинга (более детальных данных по социально-экономической ситуации, позволяющих природу и долговременность фиксируемых трендов; наиболее свежих данных о социально-экономической динамики и настроениях в обществе; о предвыборной расстановке сил и опасности элитных конфликтов: эскалации имеющихся конфликтов и актуализации латентных;</w:t>
      </w:r>
      <w:proofErr w:type="gramEnd"/>
      <w:r w:rsidRPr="00A64538">
        <w:rPr>
          <w:rFonts w:ascii="Times New Roman" w:hAnsi="Times New Roman"/>
          <w:sz w:val="24"/>
          <w:szCs w:val="24"/>
        </w:rPr>
        <w:t xml:space="preserve"> об обсуждаемых или находящихся в процессе выработки управленческих и политических решениях, способных изменить общий дизайн и вести к дестабилизации и пр.). </w:t>
      </w:r>
    </w:p>
    <w:p w:rsidR="00D70C38" w:rsidRPr="00A64538" w:rsidRDefault="00D70C38" w:rsidP="00A6453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38">
        <w:rPr>
          <w:rFonts w:ascii="Times New Roman" w:hAnsi="Times New Roman"/>
          <w:sz w:val="24"/>
          <w:szCs w:val="24"/>
        </w:rPr>
        <w:lastRenderedPageBreak/>
        <w:t xml:space="preserve">На основе более детального анализа ситуации и экспертного обсуждения составляется справка по каждому региону в зоне риска с элементами сценарного прогноза при разных вариантах развития событий и управляющих воздействий. </w:t>
      </w:r>
      <w:proofErr w:type="gramStart"/>
      <w:r w:rsidRPr="00A64538">
        <w:rPr>
          <w:rFonts w:ascii="Times New Roman" w:hAnsi="Times New Roman"/>
          <w:sz w:val="24"/>
          <w:szCs w:val="24"/>
        </w:rPr>
        <w:t xml:space="preserve">Такого рода справки-предупреждения, подготавливаемые на основе более детальной, чем обычная мониторинговая информации, помимо комплексных по отдельным регионам могут составляться и по отдельным тематическим блокам – по группам регионам или по всем регионам РФ. </w:t>
      </w:r>
      <w:proofErr w:type="gramEnd"/>
    </w:p>
    <w:p w:rsidR="00863822" w:rsidRDefault="00863822"/>
    <w:sectPr w:rsidR="00863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FE" w:rsidRDefault="00FE13FE" w:rsidP="00947E6A">
      <w:pPr>
        <w:spacing w:after="0" w:line="240" w:lineRule="auto"/>
      </w:pPr>
      <w:r>
        <w:separator/>
      </w:r>
    </w:p>
  </w:endnote>
  <w:endnote w:type="continuationSeparator" w:id="0">
    <w:p w:rsidR="00FE13FE" w:rsidRDefault="00FE13FE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6A" w:rsidRDefault="00947E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945011"/>
      <w:docPartObj>
        <w:docPartGallery w:val="Page Numbers (Bottom of Page)"/>
        <w:docPartUnique/>
      </w:docPartObj>
    </w:sdtPr>
    <w:sdtEndPr/>
    <w:sdtContent>
      <w:p w:rsidR="00947E6A" w:rsidRDefault="00947E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E0">
          <w:rPr>
            <w:noProof/>
          </w:rPr>
          <w:t>4</w:t>
        </w:r>
        <w:r>
          <w:fldChar w:fldCharType="end"/>
        </w:r>
      </w:p>
    </w:sdtContent>
  </w:sdt>
  <w:p w:rsidR="00947E6A" w:rsidRDefault="00947E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6A" w:rsidRDefault="00947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FE" w:rsidRDefault="00FE13FE" w:rsidP="00947E6A">
      <w:pPr>
        <w:spacing w:after="0" w:line="240" w:lineRule="auto"/>
      </w:pPr>
      <w:r>
        <w:separator/>
      </w:r>
    </w:p>
  </w:footnote>
  <w:footnote w:type="continuationSeparator" w:id="0">
    <w:p w:rsidR="00FE13FE" w:rsidRDefault="00FE13FE" w:rsidP="0094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6A" w:rsidRDefault="00947E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6A" w:rsidRDefault="00947E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6A" w:rsidRDefault="00947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EAD"/>
    <w:multiLevelType w:val="hybridMultilevel"/>
    <w:tmpl w:val="55E4A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38"/>
    <w:rsid w:val="003665E0"/>
    <w:rsid w:val="003E6225"/>
    <w:rsid w:val="00863822"/>
    <w:rsid w:val="00947E6A"/>
    <w:rsid w:val="00A64538"/>
    <w:rsid w:val="00D70C38"/>
    <w:rsid w:val="00DE5DF7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E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E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Novoselov</cp:lastModifiedBy>
  <cp:revision>4</cp:revision>
  <dcterms:created xsi:type="dcterms:W3CDTF">2015-11-02T06:36:00Z</dcterms:created>
  <dcterms:modified xsi:type="dcterms:W3CDTF">2015-11-02T07:31:00Z</dcterms:modified>
</cp:coreProperties>
</file>